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CA" w:rsidRDefault="0083451A">
      <w:pPr>
        <w:spacing w:line="520" w:lineRule="exact"/>
        <w:rPr>
          <w:rFonts w:ascii="Times New Roman" w:eastAsia="方正大标宋简体" w:hAnsi="Times New Roman"/>
          <w:bCs/>
          <w:spacing w:val="20"/>
          <w:sz w:val="36"/>
          <w:szCs w:val="36"/>
        </w:rPr>
      </w:pPr>
      <w:r>
        <w:rPr>
          <w:rFonts w:ascii="Times New Roman" w:eastAsia="方正仿宋简体" w:hAnsi="Times New Roman" w:hint="eastAsia"/>
          <w:sz w:val="32"/>
          <w:szCs w:val="32"/>
        </w:rPr>
        <w:t>附件</w:t>
      </w:r>
      <w:r>
        <w:rPr>
          <w:rFonts w:ascii="Times New Roman" w:eastAsia="方正仿宋简体" w:hAnsi="Times New Roman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sz w:val="32"/>
          <w:szCs w:val="32"/>
        </w:rPr>
        <w:t>：</w:t>
      </w:r>
    </w:p>
    <w:p w:rsidR="00992CCA" w:rsidRDefault="0083451A">
      <w:pPr>
        <w:spacing w:line="520" w:lineRule="exact"/>
        <w:jc w:val="center"/>
        <w:rPr>
          <w:rFonts w:ascii="Times New Roman" w:eastAsia="方正大标宋简体" w:hAnsi="Times New Roman"/>
          <w:bCs/>
          <w:spacing w:val="20"/>
          <w:sz w:val="44"/>
          <w:szCs w:val="44"/>
        </w:rPr>
      </w:pPr>
      <w:r>
        <w:rPr>
          <w:rFonts w:ascii="Times New Roman" w:eastAsia="方正大标宋简体" w:hAnsi="Times New Roman" w:hint="eastAsia"/>
          <w:bCs/>
          <w:spacing w:val="20"/>
          <w:sz w:val="44"/>
          <w:szCs w:val="44"/>
        </w:rPr>
        <w:t>实践团队申报表</w:t>
      </w:r>
    </w:p>
    <w:p w:rsidR="00992CCA" w:rsidRDefault="0083451A">
      <w:pPr>
        <w:spacing w:line="560" w:lineRule="exact"/>
        <w:ind w:leftChars="-200" w:hangingChars="150" w:hanging="42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华文楷体" w:hAnsi="Times New Roman"/>
          <w:sz w:val="28"/>
          <w:szCs w:val="28"/>
        </w:rPr>
        <w:t xml:space="preserve"> </w:t>
      </w:r>
      <w:r>
        <w:rPr>
          <w:rFonts w:ascii="Times New Roman" w:eastAsia="方正楷体简体" w:hAnsi="Times New Roman" w:hint="eastAsia"/>
          <w:sz w:val="28"/>
          <w:szCs w:val="28"/>
        </w:rPr>
        <w:t>申报学校：</w:t>
      </w:r>
      <w:r>
        <w:rPr>
          <w:rFonts w:ascii="Times New Roman" w:eastAsia="方正楷体简体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方正楷体简体" w:hAnsi="Times New Roman" w:hint="eastAsia"/>
          <w:sz w:val="28"/>
          <w:szCs w:val="28"/>
          <w:u w:val="single"/>
        </w:rPr>
        <w:t>重庆第二师范学院</w:t>
      </w:r>
      <w:r>
        <w:rPr>
          <w:rFonts w:ascii="Times New Roman" w:eastAsia="方正楷体简体" w:hAnsi="Times New Roman"/>
          <w:sz w:val="28"/>
          <w:szCs w:val="28"/>
          <w:u w:val="single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 xml:space="preserve"> </w:t>
      </w:r>
    </w:p>
    <w:tbl>
      <w:tblPr>
        <w:tblW w:w="8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5"/>
        <w:gridCol w:w="3196"/>
        <w:gridCol w:w="1710"/>
        <w:gridCol w:w="2070"/>
      </w:tblGrid>
      <w:tr w:rsidR="00992CCA">
        <w:tblPrEx>
          <w:tblCellMar>
            <w:top w:w="0" w:type="dxa"/>
            <w:bottom w:w="0" w:type="dxa"/>
          </w:tblCellMar>
        </w:tblPrEx>
        <w:trPr>
          <w:trHeight w:val="753"/>
          <w:jc w:val="center"/>
        </w:trPr>
        <w:tc>
          <w:tcPr>
            <w:tcW w:w="1935" w:type="dxa"/>
          </w:tcPr>
          <w:p w:rsidR="00992CCA" w:rsidRDefault="0083451A" w:rsidP="00CD2044">
            <w:pPr>
              <w:spacing w:beforeLines="3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团队名称</w:t>
            </w:r>
          </w:p>
        </w:tc>
        <w:tc>
          <w:tcPr>
            <w:tcW w:w="3196" w:type="dxa"/>
          </w:tcPr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美术系井冈山革命历史故事连环画创作实践团</w:t>
            </w:r>
          </w:p>
        </w:tc>
        <w:tc>
          <w:tcPr>
            <w:tcW w:w="1710" w:type="dxa"/>
          </w:tcPr>
          <w:p w:rsidR="00992CCA" w:rsidRDefault="0083451A" w:rsidP="00CD2044">
            <w:pPr>
              <w:spacing w:beforeLines="50" w:line="3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实践时间</w:t>
            </w:r>
          </w:p>
        </w:tc>
        <w:tc>
          <w:tcPr>
            <w:tcW w:w="2070" w:type="dxa"/>
          </w:tcPr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7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15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日—</w:t>
            </w:r>
          </w:p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23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758"/>
          <w:jc w:val="center"/>
        </w:trPr>
        <w:tc>
          <w:tcPr>
            <w:tcW w:w="1935" w:type="dxa"/>
          </w:tcPr>
          <w:p w:rsidR="00992CCA" w:rsidRDefault="0083451A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团队负责人</w:t>
            </w:r>
          </w:p>
          <w:p w:rsidR="00992CCA" w:rsidRDefault="0083451A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及联系方式</w:t>
            </w:r>
          </w:p>
        </w:tc>
        <w:tc>
          <w:tcPr>
            <w:tcW w:w="3196" w:type="dxa"/>
          </w:tcPr>
          <w:p w:rsidR="00992CCA" w:rsidRDefault="00CD204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黎思彤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13594084328</w:t>
            </w:r>
          </w:p>
        </w:tc>
        <w:tc>
          <w:tcPr>
            <w:tcW w:w="1710" w:type="dxa"/>
          </w:tcPr>
          <w:p w:rsidR="00992CCA" w:rsidRDefault="0083451A" w:rsidP="00CD2044">
            <w:pPr>
              <w:spacing w:beforeLines="50" w:line="3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团队人数</w:t>
            </w:r>
          </w:p>
        </w:tc>
        <w:tc>
          <w:tcPr>
            <w:tcW w:w="2070" w:type="dxa"/>
          </w:tcPr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</w:t>
            </w: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752"/>
          <w:jc w:val="center"/>
        </w:trPr>
        <w:tc>
          <w:tcPr>
            <w:tcW w:w="1935" w:type="dxa"/>
          </w:tcPr>
          <w:p w:rsidR="00992CCA" w:rsidRDefault="0083451A" w:rsidP="00CD2044">
            <w:pPr>
              <w:spacing w:beforeLines="10"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团队人员</w:t>
            </w:r>
          </w:p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专业构成</w:t>
            </w:r>
          </w:p>
        </w:tc>
        <w:tc>
          <w:tcPr>
            <w:tcW w:w="6976" w:type="dxa"/>
            <w:gridSpan w:val="3"/>
          </w:tcPr>
          <w:p w:rsidR="00992CCA" w:rsidRDefault="0083451A">
            <w:pPr>
              <w:tabs>
                <w:tab w:val="left" w:pos="1467"/>
              </w:tabs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美术学（油画、国画方向），应用美术</w:t>
            </w: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4248"/>
          <w:jc w:val="center"/>
        </w:trPr>
        <w:tc>
          <w:tcPr>
            <w:tcW w:w="1935" w:type="dxa"/>
          </w:tcPr>
          <w:p w:rsidR="00992CCA" w:rsidRDefault="00992CC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992CC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992CC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992CC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课题名称</w:t>
            </w:r>
          </w:p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及内容概要</w:t>
            </w:r>
          </w:p>
        </w:tc>
        <w:tc>
          <w:tcPr>
            <w:tcW w:w="6976" w:type="dxa"/>
            <w:gridSpan w:val="3"/>
          </w:tcPr>
          <w:p w:rsidR="00992CCA" w:rsidRDefault="00992CC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井冈山革命历史故事连环画创作</w:t>
            </w:r>
          </w:p>
          <w:p w:rsidR="00992CCA" w:rsidRDefault="0083451A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依托美术系专业平台，通过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深入挖掘井冈山革命故事题材，明确受众人群，加入娱乐性与时代感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创作寓教于乐的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连环画。</w:t>
            </w:r>
            <w:bookmarkStart w:id="0" w:name="_GoBack"/>
            <w:bookmarkEnd w:id="0"/>
          </w:p>
          <w:p w:rsidR="00992CCA" w:rsidRDefault="00992CC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92CCA" w:rsidRDefault="0083451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</w:t>
            </w: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822"/>
          <w:jc w:val="center"/>
        </w:trPr>
        <w:tc>
          <w:tcPr>
            <w:tcW w:w="1935" w:type="dxa"/>
          </w:tcPr>
          <w:p w:rsidR="00992CCA" w:rsidRDefault="0083451A">
            <w:pPr>
              <w:spacing w:line="48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校团委</w:t>
            </w:r>
          </w:p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推荐意见</w:t>
            </w:r>
          </w:p>
        </w:tc>
        <w:tc>
          <w:tcPr>
            <w:tcW w:w="6976" w:type="dxa"/>
            <w:gridSpan w:val="3"/>
          </w:tcPr>
          <w:p w:rsidR="00992CCA" w:rsidRDefault="00992CC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948"/>
          <w:jc w:val="center"/>
        </w:trPr>
        <w:tc>
          <w:tcPr>
            <w:tcW w:w="1935" w:type="dxa"/>
          </w:tcPr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省级团委学校部推荐意见</w:t>
            </w:r>
          </w:p>
        </w:tc>
        <w:tc>
          <w:tcPr>
            <w:tcW w:w="6976" w:type="dxa"/>
            <w:gridSpan w:val="3"/>
          </w:tcPr>
          <w:p w:rsidR="00992CCA" w:rsidRDefault="00992CC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92CCA">
        <w:tblPrEx>
          <w:tblCellMar>
            <w:top w:w="0" w:type="dxa"/>
            <w:bottom w:w="0" w:type="dxa"/>
          </w:tblCellMar>
        </w:tblPrEx>
        <w:trPr>
          <w:trHeight w:val="455"/>
          <w:jc w:val="center"/>
        </w:trPr>
        <w:tc>
          <w:tcPr>
            <w:tcW w:w="1935" w:type="dxa"/>
          </w:tcPr>
          <w:p w:rsidR="00992CCA" w:rsidRDefault="0083451A">
            <w:pPr>
              <w:spacing w:line="4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备注</w:t>
            </w:r>
          </w:p>
        </w:tc>
        <w:tc>
          <w:tcPr>
            <w:tcW w:w="6976" w:type="dxa"/>
            <w:gridSpan w:val="3"/>
          </w:tcPr>
          <w:p w:rsidR="00992CCA" w:rsidRDefault="00992CC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992CCA" w:rsidRDefault="00992CCA">
      <w:pPr>
        <w:widowControl/>
        <w:spacing w:line="320" w:lineRule="exact"/>
        <w:jc w:val="left"/>
        <w:rPr>
          <w:rFonts w:ascii="Times New Roman" w:eastAsia="方正仿宋简体" w:hAnsi="Times New Roman"/>
          <w:kern w:val="0"/>
          <w:sz w:val="32"/>
          <w:szCs w:val="32"/>
        </w:rPr>
      </w:pPr>
    </w:p>
    <w:p w:rsidR="00992CCA" w:rsidRDefault="0083451A">
      <w:pPr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方正仿宋简体" w:hAnsi="Times New Roman"/>
          <w:kern w:val="0"/>
          <w:sz w:val="28"/>
          <w:szCs w:val="28"/>
        </w:rPr>
        <w:br w:type="page"/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井冈山革命历史故事连环画创作方案</w:t>
      </w:r>
    </w:p>
    <w:p w:rsidR="00992CCA" w:rsidRDefault="0083451A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1</w:t>
      </w:r>
      <w:r>
        <w:rPr>
          <w:rFonts w:ascii="仿宋_GB2312" w:eastAsia="仿宋_GB2312" w:hAnsi="仿宋_GB2312" w:cs="仿宋_GB2312" w:hint="eastAsia"/>
          <w:sz w:val="28"/>
          <w:szCs w:val="28"/>
        </w:rPr>
        <w:t>、组建</w:t>
      </w:r>
      <w:r>
        <w:rPr>
          <w:rFonts w:ascii="仿宋_GB2312" w:eastAsia="仿宋_GB2312" w:hAnsi="仿宋_GB2312" w:cs="仿宋_GB2312" w:hint="eastAsia"/>
          <w:sz w:val="28"/>
          <w:szCs w:val="28"/>
        </w:rPr>
        <w:t>一支优秀的创作队伍。</w:t>
      </w:r>
      <w:r>
        <w:rPr>
          <w:rFonts w:ascii="仿宋_GB2312" w:eastAsia="仿宋_GB2312" w:hAnsi="仿宋_GB2312" w:cs="仿宋_GB2312" w:hint="eastAsia"/>
          <w:sz w:val="28"/>
          <w:szCs w:val="28"/>
        </w:rPr>
        <w:t>从优秀学生干部中挑选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以主攻国画、油画的美术学学生为主，经过专业教师培训，以便掌握</w:t>
      </w:r>
      <w:r>
        <w:rPr>
          <w:rFonts w:ascii="仿宋_GB2312" w:eastAsia="仿宋_GB2312" w:hAnsi="仿宋_GB2312" w:cs="仿宋_GB2312" w:hint="eastAsia"/>
          <w:sz w:val="28"/>
          <w:szCs w:val="28"/>
        </w:rPr>
        <w:t>连环画</w:t>
      </w:r>
      <w:r>
        <w:rPr>
          <w:rFonts w:ascii="仿宋_GB2312" w:eastAsia="仿宋_GB2312" w:hAnsi="仿宋_GB2312" w:cs="仿宋_GB2312" w:hint="eastAsia"/>
          <w:sz w:val="28"/>
          <w:szCs w:val="28"/>
        </w:rPr>
        <w:t>创作要领。同时，加强对学生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井冈山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革命精神的教育。让学生深入了解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八十多年前那场史诗般的波澜壮阔的革命斗争。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让学生努力学习老一辈革命家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饱含着爱国主义、英雄主义、乐观主义等崇高精神和宝贵品德。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这是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我们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连环画创作的</w:t>
      </w:r>
      <w:r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精神源泉。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992CCA" w:rsidRDefault="0083451A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2</w:t>
      </w:r>
      <w:r>
        <w:rPr>
          <w:rFonts w:ascii="仿宋_GB2312" w:eastAsia="仿宋_GB2312" w:hAnsi="仿宋_GB2312" w:cs="仿宋_GB2312" w:hint="eastAsia"/>
          <w:sz w:val="28"/>
          <w:szCs w:val="28"/>
        </w:rPr>
        <w:t>、文字</w:t>
      </w:r>
      <w:r>
        <w:rPr>
          <w:rFonts w:ascii="仿宋_GB2312" w:eastAsia="仿宋_GB2312" w:hAnsi="仿宋_GB2312" w:cs="仿宋_GB2312" w:hint="eastAsia"/>
          <w:sz w:val="28"/>
          <w:szCs w:val="28"/>
        </w:rPr>
        <w:t>脚本的创作。目前，</w:t>
      </w:r>
      <w:r>
        <w:rPr>
          <w:rFonts w:ascii="仿宋_GB2312" w:eastAsia="仿宋_GB2312" w:hAnsi="仿宋_GB2312" w:cs="仿宋_GB2312" w:hint="eastAsia"/>
          <w:sz w:val="28"/>
          <w:szCs w:val="28"/>
        </w:rPr>
        <w:t>革命题材的</w:t>
      </w:r>
      <w:r>
        <w:rPr>
          <w:rFonts w:ascii="仿宋_GB2312" w:eastAsia="仿宋_GB2312" w:hAnsi="仿宋_GB2312" w:cs="仿宋_GB2312" w:hint="eastAsia"/>
          <w:sz w:val="28"/>
          <w:szCs w:val="28"/>
        </w:rPr>
        <w:t>脚本存在的最大问题是题材陈旧、局限性大、说教意味较浓、脱离现代人的生活等。首先</w:t>
      </w:r>
      <w:r>
        <w:rPr>
          <w:rFonts w:ascii="仿宋_GB2312" w:eastAsia="仿宋_GB2312" w:hAnsi="仿宋_GB2312" w:cs="仿宋_GB2312" w:hint="eastAsia"/>
          <w:sz w:val="28"/>
          <w:szCs w:val="28"/>
        </w:rPr>
        <w:t>，一方面，</w:t>
      </w:r>
      <w:r>
        <w:rPr>
          <w:rFonts w:ascii="仿宋_GB2312" w:eastAsia="仿宋_GB2312" w:hAnsi="仿宋_GB2312" w:cs="仿宋_GB2312" w:hint="eastAsia"/>
          <w:sz w:val="28"/>
          <w:szCs w:val="28"/>
        </w:rPr>
        <w:t>深入挖掘</w:t>
      </w:r>
      <w:r>
        <w:rPr>
          <w:rFonts w:ascii="仿宋_GB2312" w:eastAsia="仿宋_GB2312" w:hAnsi="仿宋_GB2312" w:cs="仿宋_GB2312" w:hint="eastAsia"/>
          <w:sz w:val="28"/>
          <w:szCs w:val="28"/>
        </w:rPr>
        <w:t>井冈山</w:t>
      </w:r>
      <w:r>
        <w:rPr>
          <w:rFonts w:ascii="仿宋_GB2312" w:eastAsia="仿宋_GB2312" w:hAnsi="仿宋_GB2312" w:cs="仿宋_GB2312" w:hint="eastAsia"/>
          <w:sz w:val="28"/>
          <w:szCs w:val="28"/>
        </w:rPr>
        <w:t>脚本题材。</w:t>
      </w:r>
      <w:r>
        <w:rPr>
          <w:rFonts w:ascii="仿宋_GB2312" w:eastAsia="仿宋_GB2312" w:hAnsi="仿宋_GB2312" w:cs="仿宋_GB2312" w:hint="eastAsia"/>
          <w:sz w:val="28"/>
          <w:szCs w:val="28"/>
        </w:rPr>
        <w:t>在灌输革命</w:t>
      </w:r>
      <w:r>
        <w:rPr>
          <w:rFonts w:ascii="仿宋_GB2312" w:eastAsia="仿宋_GB2312" w:hAnsi="仿宋_GB2312" w:cs="仿宋_GB2312" w:hint="eastAsia"/>
          <w:sz w:val="28"/>
          <w:szCs w:val="28"/>
        </w:rPr>
        <w:t>精神</w:t>
      </w:r>
      <w:r>
        <w:rPr>
          <w:rFonts w:ascii="仿宋_GB2312" w:eastAsia="仿宋_GB2312" w:hAnsi="仿宋_GB2312" w:cs="仿宋_GB2312" w:hint="eastAsia"/>
          <w:sz w:val="28"/>
          <w:szCs w:val="28"/>
        </w:rPr>
        <w:t>的同时，加入</w:t>
      </w:r>
      <w:r>
        <w:rPr>
          <w:rFonts w:ascii="仿宋_GB2312" w:eastAsia="仿宋_GB2312" w:hAnsi="仿宋_GB2312" w:cs="仿宋_GB2312" w:hint="eastAsia"/>
          <w:sz w:val="28"/>
          <w:szCs w:val="28"/>
        </w:rPr>
        <w:t>娱乐性</w:t>
      </w:r>
      <w:r>
        <w:rPr>
          <w:rFonts w:ascii="仿宋_GB2312" w:eastAsia="仿宋_GB2312" w:hAnsi="仿宋_GB2312" w:cs="仿宋_GB2312" w:hint="eastAsia"/>
          <w:sz w:val="28"/>
          <w:szCs w:val="28"/>
        </w:rPr>
        <w:t>与时代感</w:t>
      </w:r>
      <w:r>
        <w:rPr>
          <w:rFonts w:ascii="仿宋_GB2312" w:eastAsia="仿宋_GB2312" w:hAnsi="仿宋_GB2312" w:cs="仿宋_GB2312" w:hint="eastAsia"/>
          <w:sz w:val="28"/>
          <w:szCs w:val="28"/>
        </w:rPr>
        <w:t>，起到寓教于乐的作用。另一方面，</w:t>
      </w:r>
      <w:r>
        <w:rPr>
          <w:rFonts w:ascii="仿宋_GB2312" w:eastAsia="仿宋_GB2312" w:hAnsi="仿宋_GB2312" w:cs="仿宋_GB2312" w:hint="eastAsia"/>
          <w:sz w:val="28"/>
          <w:szCs w:val="28"/>
        </w:rPr>
        <w:t>通过实地考察，加强对</w:t>
      </w:r>
      <w:r>
        <w:rPr>
          <w:rFonts w:ascii="仿宋_GB2312" w:eastAsia="仿宋_GB2312" w:hAnsi="仿宋_GB2312" w:cs="仿宋_GB2312" w:hint="eastAsia"/>
          <w:sz w:val="28"/>
          <w:szCs w:val="28"/>
        </w:rPr>
        <w:t>现实生活的关注，增加人文关怀，抓住令受众感同身受的焦点。其次，加强脚本创作的交流合作。</w:t>
      </w:r>
      <w:r>
        <w:rPr>
          <w:rFonts w:ascii="仿宋_GB2312" w:eastAsia="仿宋_GB2312" w:hAnsi="仿宋_GB2312" w:cs="仿宋_GB2312" w:hint="eastAsia"/>
          <w:sz w:val="28"/>
          <w:szCs w:val="28"/>
        </w:rPr>
        <w:t>通过学习，请教井冈山相关专家、教师，</w:t>
      </w:r>
      <w:r>
        <w:rPr>
          <w:rFonts w:ascii="仿宋_GB2312" w:eastAsia="仿宋_GB2312" w:hAnsi="仿宋_GB2312" w:cs="仿宋_GB2312" w:hint="eastAsia"/>
          <w:sz w:val="28"/>
          <w:szCs w:val="28"/>
        </w:rPr>
        <w:t>充分</w:t>
      </w:r>
      <w:r>
        <w:rPr>
          <w:rFonts w:ascii="仿宋_GB2312" w:eastAsia="仿宋_GB2312" w:hAnsi="仿宋_GB2312" w:cs="仿宋_GB2312" w:hint="eastAsia"/>
          <w:sz w:val="28"/>
          <w:szCs w:val="28"/>
        </w:rPr>
        <w:t>了解情况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92CCA" w:rsidRDefault="0083451A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3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在继承优秀的基础上锐意创新。每个国家民族的文化艺术都是在宣扬自己的文化价值观。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连环画要成为</w:t>
      </w:r>
      <w:r>
        <w:rPr>
          <w:rFonts w:ascii="仿宋_GB2312" w:eastAsia="仿宋_GB2312" w:hAnsi="仿宋_GB2312" w:cs="仿宋_GB2312" w:hint="eastAsia"/>
          <w:sz w:val="28"/>
          <w:szCs w:val="28"/>
        </w:rPr>
        <w:t>可挥洒自如地表现生活、倾诉情感的语言</w:t>
      </w:r>
      <w:r>
        <w:rPr>
          <w:rFonts w:ascii="仿宋_GB2312" w:eastAsia="仿宋_GB2312" w:hAnsi="仿宋_GB2312" w:cs="仿宋_GB2312" w:hint="eastAsia"/>
          <w:sz w:val="28"/>
          <w:szCs w:val="28"/>
        </w:rPr>
        <w:t>，就必须</w:t>
      </w:r>
      <w:r>
        <w:rPr>
          <w:rFonts w:ascii="仿宋_GB2312" w:eastAsia="仿宋_GB2312" w:hAnsi="仿宋_GB2312" w:cs="仿宋_GB2312" w:hint="eastAsia"/>
          <w:sz w:val="28"/>
          <w:szCs w:val="28"/>
        </w:rPr>
        <w:t>从传统艺术中寻找灵感，</w:t>
      </w:r>
      <w:r>
        <w:rPr>
          <w:rFonts w:ascii="仿宋_GB2312" w:eastAsia="仿宋_GB2312" w:hAnsi="仿宋_GB2312" w:cs="仿宋_GB2312" w:hint="eastAsia"/>
          <w:sz w:val="28"/>
          <w:szCs w:val="28"/>
        </w:rPr>
        <w:t>发</w:t>
      </w:r>
      <w:r>
        <w:rPr>
          <w:rFonts w:ascii="仿宋_GB2312" w:eastAsia="仿宋_GB2312" w:hAnsi="仿宋_GB2312" w:cs="仿宋_GB2312" w:hint="eastAsia"/>
          <w:sz w:val="28"/>
          <w:szCs w:val="28"/>
        </w:rPr>
        <w:t>扬</w:t>
      </w:r>
      <w:r>
        <w:rPr>
          <w:rFonts w:ascii="仿宋_GB2312" w:eastAsia="仿宋_GB2312" w:hAnsi="仿宋_GB2312" w:cs="仿宋_GB2312" w:hint="eastAsia"/>
          <w:sz w:val="28"/>
          <w:szCs w:val="28"/>
        </w:rPr>
        <w:t>民族风格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锐意创新。</w:t>
      </w:r>
      <w:r>
        <w:rPr>
          <w:rFonts w:ascii="仿宋_GB2312" w:eastAsia="仿宋_GB2312" w:hAnsi="仿宋_GB2312" w:cs="仿宋_GB2312" w:hint="eastAsia"/>
          <w:sz w:val="28"/>
          <w:szCs w:val="28"/>
        </w:rPr>
        <w:t>创新的关键在于</w:t>
      </w:r>
      <w:r>
        <w:rPr>
          <w:rFonts w:ascii="仿宋_GB2312" w:eastAsia="仿宋_GB2312" w:hAnsi="仿宋_GB2312" w:cs="仿宋_GB2312" w:hint="eastAsia"/>
          <w:sz w:val="28"/>
          <w:szCs w:val="28"/>
        </w:rPr>
        <w:t>市场定位。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根据相关要求，</w:t>
      </w:r>
      <w:r>
        <w:rPr>
          <w:rFonts w:ascii="仿宋_GB2312" w:eastAsia="仿宋_GB2312" w:hAnsi="仿宋_GB2312" w:cs="仿宋_GB2312" w:hint="eastAsia"/>
          <w:sz w:val="28"/>
          <w:szCs w:val="28"/>
        </w:rPr>
        <w:t>调查研究不同年龄段受众对</w:t>
      </w:r>
      <w:r>
        <w:rPr>
          <w:rFonts w:ascii="仿宋_GB2312" w:eastAsia="仿宋_GB2312" w:hAnsi="仿宋_GB2312" w:cs="仿宋_GB2312" w:hint="eastAsia"/>
          <w:sz w:val="28"/>
          <w:szCs w:val="28"/>
        </w:rPr>
        <w:t>连环画</w:t>
      </w:r>
      <w:r>
        <w:rPr>
          <w:rFonts w:ascii="仿宋_GB2312" w:eastAsia="仿宋_GB2312" w:hAnsi="仿宋_GB2312" w:cs="仿宋_GB2312" w:hint="eastAsia"/>
          <w:sz w:val="28"/>
          <w:szCs w:val="28"/>
        </w:rPr>
        <w:t>作品的需求，根据不同年龄段受众的教育、职业背景来确定目标人群，使</w:t>
      </w:r>
      <w:r>
        <w:rPr>
          <w:rFonts w:ascii="仿宋_GB2312" w:eastAsia="仿宋_GB2312" w:hAnsi="仿宋_GB2312" w:cs="仿宋_GB2312" w:hint="eastAsia"/>
          <w:sz w:val="28"/>
          <w:szCs w:val="28"/>
        </w:rPr>
        <w:t>连环画</w:t>
      </w:r>
      <w:r>
        <w:rPr>
          <w:rFonts w:ascii="仿宋_GB2312" w:eastAsia="仿宋_GB2312" w:hAnsi="仿宋_GB2312" w:cs="仿宋_GB2312" w:hint="eastAsia"/>
          <w:sz w:val="28"/>
          <w:szCs w:val="28"/>
        </w:rPr>
        <w:t>在创作初始阶段就有明确目的性、针对性。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992CCA" w:rsidRDefault="00992CCA">
      <w:pPr>
        <w:spacing w:line="520" w:lineRule="exact"/>
        <w:rPr>
          <w:rFonts w:ascii="Times New Roman" w:eastAsia="方正仿宋简体" w:hAnsi="Times New Roman"/>
          <w:sz w:val="32"/>
          <w:szCs w:val="32"/>
        </w:rPr>
      </w:pPr>
    </w:p>
    <w:p w:rsidR="00992CCA" w:rsidRDefault="00992CCA">
      <w:pPr>
        <w:widowControl/>
        <w:spacing w:line="520" w:lineRule="exact"/>
        <w:ind w:firstLineChars="177" w:firstLine="566"/>
        <w:jc w:val="left"/>
        <w:rPr>
          <w:rFonts w:ascii="Times New Roman" w:eastAsia="方正仿宋简体" w:hAnsi="Times New Roman"/>
          <w:kern w:val="0"/>
          <w:sz w:val="32"/>
          <w:szCs w:val="32"/>
        </w:rPr>
      </w:pPr>
    </w:p>
    <w:p w:rsidR="00992CCA" w:rsidRDefault="00992CCA">
      <w:pPr>
        <w:widowControl/>
        <w:spacing w:line="520" w:lineRule="exact"/>
        <w:ind w:firstLineChars="177" w:firstLine="566"/>
        <w:jc w:val="left"/>
        <w:rPr>
          <w:rFonts w:ascii="Times New Roman" w:eastAsia="方正仿宋简体" w:hAnsi="Times New Roman"/>
          <w:kern w:val="0"/>
          <w:sz w:val="32"/>
          <w:szCs w:val="32"/>
        </w:rPr>
      </w:pPr>
    </w:p>
    <w:sectPr w:rsidR="00992CCA" w:rsidSect="00992CCA">
      <w:footerReference w:type="default" r:id="rId7"/>
      <w:pgSz w:w="11906" w:h="16838"/>
      <w:pgMar w:top="1985" w:right="1446" w:bottom="1644" w:left="1446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51A" w:rsidRDefault="0083451A" w:rsidP="00992CCA">
      <w:r>
        <w:separator/>
      </w:r>
    </w:p>
  </w:endnote>
  <w:endnote w:type="continuationSeparator" w:id="0">
    <w:p w:rsidR="0083451A" w:rsidRDefault="0083451A" w:rsidP="00992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大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楷体">
    <w:altName w:val="宋体"/>
    <w:charset w:val="86"/>
    <w:family w:val="auto"/>
    <w:pitch w:val="default"/>
    <w:sig w:usb0="00000287" w:usb1="080E0000" w:usb2="00000010" w:usb3="00000000" w:csb0="000400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CCA" w:rsidRDefault="00992CCA">
    <w:pPr>
      <w:pStyle w:val="a4"/>
      <w:jc w:val="center"/>
    </w:pPr>
    <w:r>
      <w:fldChar w:fldCharType="begin"/>
    </w:r>
    <w:r w:rsidR="0083451A">
      <w:instrText>PAGE   \* MERGEFORMAT</w:instrText>
    </w:r>
    <w:r>
      <w:fldChar w:fldCharType="separate"/>
    </w:r>
    <w:r w:rsidR="00CD2044">
      <w:rPr>
        <w:noProof/>
      </w:rPr>
      <w:t>1</w:t>
    </w:r>
    <w:r>
      <w:fldChar w:fldCharType="end"/>
    </w:r>
  </w:p>
  <w:p w:rsidR="00992CCA" w:rsidRDefault="00992C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51A" w:rsidRDefault="0083451A" w:rsidP="00992CCA">
      <w:r>
        <w:separator/>
      </w:r>
    </w:p>
  </w:footnote>
  <w:footnote w:type="continuationSeparator" w:id="0">
    <w:p w:rsidR="0083451A" w:rsidRDefault="0083451A" w:rsidP="00992C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CCA"/>
    <w:rsid w:val="0083451A"/>
    <w:rsid w:val="00992CCA"/>
    <w:rsid w:val="00CD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/>
    <w:lsdException w:name="footer" w:uiPriority="99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1" w:unhideWhenUsed="1"/>
    <w:lsdException w:name="Subtitle" w:locked="1" w:uiPriority="11" w:qFormat="1"/>
    <w:lsdException w:name="Hyperlink" w:uiPriority="99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C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2CCA"/>
    <w:rPr>
      <w:sz w:val="18"/>
      <w:szCs w:val="18"/>
    </w:rPr>
  </w:style>
  <w:style w:type="paragraph" w:styleId="a4">
    <w:name w:val="footer"/>
    <w:basedOn w:val="a"/>
    <w:link w:val="Char0"/>
    <w:uiPriority w:val="99"/>
    <w:rsid w:val="00992CC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992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6">
    <w:name w:val="Hyperlink"/>
    <w:basedOn w:val="a0"/>
    <w:uiPriority w:val="99"/>
    <w:rsid w:val="00992CCA"/>
    <w:rPr>
      <w:rFonts w:cs="Times New Roman"/>
      <w:color w:val="0000FF"/>
      <w:u w:val="single"/>
    </w:rPr>
  </w:style>
  <w:style w:type="paragraph" w:customStyle="1" w:styleId="CharCharCharCharCharCharChar">
    <w:name w:val="Char Char Char Char Char Char Char"/>
    <w:basedOn w:val="a"/>
    <w:uiPriority w:val="99"/>
    <w:rsid w:val="00992CCA"/>
  </w:style>
  <w:style w:type="paragraph" w:customStyle="1" w:styleId="1">
    <w:name w:val="列出段落1"/>
    <w:basedOn w:val="a"/>
    <w:uiPriority w:val="99"/>
    <w:rsid w:val="00992CCA"/>
    <w:pPr>
      <w:ind w:firstLineChars="200" w:firstLine="420"/>
    </w:pPr>
  </w:style>
  <w:style w:type="paragraph" w:customStyle="1" w:styleId="2">
    <w:name w:val="列出段落2"/>
    <w:basedOn w:val="a"/>
    <w:uiPriority w:val="99"/>
    <w:rsid w:val="00992CCA"/>
    <w:pPr>
      <w:ind w:firstLineChars="200" w:firstLine="420"/>
    </w:pPr>
  </w:style>
  <w:style w:type="character" w:customStyle="1" w:styleId="Char0">
    <w:name w:val="页脚 Char"/>
    <w:basedOn w:val="a0"/>
    <w:link w:val="a4"/>
    <w:uiPriority w:val="99"/>
    <w:locked/>
    <w:rsid w:val="00992CCA"/>
    <w:rPr>
      <w:rFonts w:cs="Times New Roman"/>
      <w:sz w:val="18"/>
    </w:rPr>
  </w:style>
  <w:style w:type="character" w:customStyle="1" w:styleId="Char1">
    <w:name w:val="页眉 Char"/>
    <w:basedOn w:val="a0"/>
    <w:link w:val="a5"/>
    <w:uiPriority w:val="99"/>
    <w:locked/>
    <w:rsid w:val="00992CCA"/>
    <w:rPr>
      <w:rFonts w:cs="Times New Roman"/>
      <w:sz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992CCA"/>
    <w:rPr>
      <w:rFonts w:ascii="Calibri" w:hAnsi="Calibri"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关于深入开展2014年“井冈情·中国梦”全国大中学生暑期实践季活动的通知</dc:title>
  <dc:creator>123</dc:creator>
  <cp:lastModifiedBy>Administrator</cp:lastModifiedBy>
  <cp:revision>2</cp:revision>
  <cp:lastPrinted>2014-05-09T02:46:00Z</cp:lastPrinted>
  <dcterms:created xsi:type="dcterms:W3CDTF">2014-06-04T07:35:00Z</dcterms:created>
  <dcterms:modified xsi:type="dcterms:W3CDTF">2014-06-04T07:35:00Z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